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6F57E" w14:textId="77777777" w:rsidR="00843FDA" w:rsidRDefault="00843FDA" w:rsidP="00843FDA">
      <w:pPr>
        <w:jc w:val="right"/>
      </w:pPr>
      <w:bookmarkStart w:id="0" w:name="_GoBack"/>
      <w:r>
        <w:rPr>
          <w:noProof/>
          <w:lang w:eastAsia="en-GB"/>
        </w:rPr>
        <w:drawing>
          <wp:inline distT="0" distB="0" distL="0" distR="0" wp14:anchorId="093B90EE" wp14:editId="45E8F8E4">
            <wp:extent cx="2413001" cy="1158240"/>
            <wp:effectExtent l="0" t="0" r="0" b="0"/>
            <wp:docPr id="1" name="Picture 1" descr="Measuring the Mountain logo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M-Master-RGB-Sm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037" cy="116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FD4E200" w14:textId="77777777" w:rsidR="00843FDA" w:rsidRPr="00843FDA" w:rsidRDefault="00843FDA" w:rsidP="00843FDA">
      <w:pPr>
        <w:jc w:val="center"/>
        <w:rPr>
          <w:b/>
          <w:sz w:val="20"/>
        </w:rPr>
      </w:pPr>
    </w:p>
    <w:p w14:paraId="04EF042D" w14:textId="705B8AD0" w:rsidR="0031458A" w:rsidRPr="00843FDA" w:rsidRDefault="00843FDA" w:rsidP="00843FDA">
      <w:pPr>
        <w:jc w:val="center"/>
        <w:rPr>
          <w:b/>
          <w:sz w:val="32"/>
        </w:rPr>
      </w:pPr>
      <w:r w:rsidRPr="00843FDA">
        <w:rPr>
          <w:b/>
          <w:sz w:val="32"/>
        </w:rPr>
        <w:t xml:space="preserve">Story-Gathering Report 2020 - </w:t>
      </w:r>
      <w:r w:rsidR="00582D11" w:rsidRPr="00843FDA">
        <w:rPr>
          <w:b/>
          <w:sz w:val="32"/>
        </w:rPr>
        <w:t xml:space="preserve">Executive </w:t>
      </w:r>
      <w:r w:rsidR="005D2B6A">
        <w:rPr>
          <w:b/>
          <w:sz w:val="32"/>
        </w:rPr>
        <w:t>S</w:t>
      </w:r>
      <w:r w:rsidR="00582D11" w:rsidRPr="00843FDA">
        <w:rPr>
          <w:b/>
          <w:sz w:val="32"/>
        </w:rPr>
        <w:t>ummary</w:t>
      </w:r>
    </w:p>
    <w:p w14:paraId="607FF495" w14:textId="77777777" w:rsidR="0033584A" w:rsidRDefault="0033584A"/>
    <w:p w14:paraId="27D6E7D9" w14:textId="69AC9236" w:rsidR="00C503DA" w:rsidRDefault="00EB68C4" w:rsidP="00B543A7">
      <w:r w:rsidRPr="00756DF0">
        <w:rPr>
          <w:i/>
        </w:rPr>
        <w:t>Measuring the Mountain</w:t>
      </w:r>
      <w:r w:rsidR="00BA7FD4">
        <w:t xml:space="preserve"> i</w:t>
      </w:r>
      <w:r>
        <w:t>s</w:t>
      </w:r>
      <w:r w:rsidR="003F18F7">
        <w:t xml:space="preserve"> a community-based action research project</w:t>
      </w:r>
      <w:r w:rsidR="00C503DA">
        <w:t xml:space="preserve"> funded by Welsh Government as part of their commitment to evaluate the early impact of the </w:t>
      </w:r>
      <w:r w:rsidR="00C503DA" w:rsidRPr="00C503DA">
        <w:rPr>
          <w:i/>
        </w:rPr>
        <w:t>Social Services and Well-being (Wales) Act 2014</w:t>
      </w:r>
      <w:r w:rsidR="00C503DA">
        <w:t>.</w:t>
      </w:r>
      <w:r w:rsidR="00C37DD8">
        <w:t xml:space="preserve">  Focusing on the experiences of people who use care and support </w:t>
      </w:r>
      <w:r w:rsidR="00C140EA">
        <w:t xml:space="preserve">services </w:t>
      </w:r>
      <w:r w:rsidR="00C37DD8">
        <w:t xml:space="preserve">and people who are unpaid carers, the </w:t>
      </w:r>
      <w:r w:rsidR="005D2B6A">
        <w:t xml:space="preserve">project </w:t>
      </w:r>
      <w:r w:rsidR="00C37DD8">
        <w:t xml:space="preserve">has two main components: story-gathering </w:t>
      </w:r>
      <w:r w:rsidR="000D5953">
        <w:t xml:space="preserve">of lived experiences from around Wales </w:t>
      </w:r>
      <w:r w:rsidR="00C37DD8">
        <w:t>and a Citizens’ Jury</w:t>
      </w:r>
      <w:r w:rsidR="005D2B6A">
        <w:t xml:space="preserve"> on what really matters in social care</w:t>
      </w:r>
      <w:r w:rsidR="00C37DD8">
        <w:t>.</w:t>
      </w:r>
    </w:p>
    <w:p w14:paraId="7A894300" w14:textId="2D128871" w:rsidR="00C37DD8" w:rsidRDefault="00C37DD8" w:rsidP="00B543A7">
      <w:r>
        <w:t xml:space="preserve">This </w:t>
      </w:r>
      <w:r w:rsidR="00112B20">
        <w:t xml:space="preserve">executive </w:t>
      </w:r>
      <w:r>
        <w:t>summary relates to the story-gathering work</w:t>
      </w:r>
      <w:r w:rsidR="000D5953">
        <w:t xml:space="preserve">; </w:t>
      </w:r>
      <w:r>
        <w:t>the full report</w:t>
      </w:r>
      <w:r w:rsidR="00112B20">
        <w:t>,</w:t>
      </w:r>
      <w:r>
        <w:t xml:space="preserve"> as well as the report of the </w:t>
      </w:r>
      <w:r w:rsidR="003F18F7">
        <w:t xml:space="preserve">Online </w:t>
      </w:r>
      <w:r>
        <w:t>Citizens’ Jury</w:t>
      </w:r>
      <w:r w:rsidR="00112B20">
        <w:t>,</w:t>
      </w:r>
      <w:r>
        <w:t xml:space="preserve"> can be found on </w:t>
      </w:r>
      <w:hyperlink r:id="rId10" w:history="1">
        <w:r w:rsidR="00064E1E" w:rsidRPr="009C6913">
          <w:rPr>
            <w:rStyle w:val="Hyperlink"/>
          </w:rPr>
          <w:t>www.mtm.wales</w:t>
        </w:r>
      </w:hyperlink>
      <w:r w:rsidR="00064E1E">
        <w:t xml:space="preserve">. </w:t>
      </w:r>
    </w:p>
    <w:p w14:paraId="7EDC48AA" w14:textId="77777777" w:rsidR="003F18F7" w:rsidRDefault="003F18F7" w:rsidP="00B543A7">
      <w:pPr>
        <w:rPr>
          <w:b/>
        </w:rPr>
      </w:pPr>
    </w:p>
    <w:p w14:paraId="63DC90BA" w14:textId="77777777" w:rsidR="00112B20" w:rsidRPr="003F18F7" w:rsidRDefault="00C140EA" w:rsidP="00B543A7">
      <w:pPr>
        <w:rPr>
          <w:b/>
        </w:rPr>
      </w:pPr>
      <w:r w:rsidRPr="003F18F7">
        <w:rPr>
          <w:b/>
        </w:rPr>
        <w:t>Background</w:t>
      </w:r>
    </w:p>
    <w:p w14:paraId="2FC51915" w14:textId="3112B06C" w:rsidR="00802903" w:rsidRDefault="003F18F7" w:rsidP="00802903">
      <w:r w:rsidRPr="003F18F7">
        <w:rPr>
          <w:i/>
        </w:rPr>
        <w:t>Measuring the Mountain</w:t>
      </w:r>
      <w:r>
        <w:t xml:space="preserve"> received initial funding </w:t>
      </w:r>
      <w:r w:rsidR="00020FEC">
        <w:t>for</w:t>
      </w:r>
      <w:r>
        <w:t xml:space="preserve"> 2018 </w:t>
      </w:r>
      <w:r w:rsidR="005D2B6A">
        <w:t>and 2019</w:t>
      </w:r>
      <w:r>
        <w:t>, and following the successful completion of that activity, was funded for further work between May 1</w:t>
      </w:r>
      <w:r w:rsidRPr="003F18F7">
        <w:rPr>
          <w:vertAlign w:val="superscript"/>
        </w:rPr>
        <w:t>st</w:t>
      </w:r>
      <w:r>
        <w:t xml:space="preserve"> 2019 and December 31</w:t>
      </w:r>
      <w:r w:rsidRPr="003F18F7">
        <w:rPr>
          <w:vertAlign w:val="superscript"/>
        </w:rPr>
        <w:t>st</w:t>
      </w:r>
      <w:r>
        <w:t xml:space="preserve"> 2020. The aim of th</w:t>
      </w:r>
      <w:r w:rsidR="005D2B6A">
        <w:t xml:space="preserve">is </w:t>
      </w:r>
      <w:r w:rsidR="000D5953">
        <w:t xml:space="preserve">research </w:t>
      </w:r>
      <w:r>
        <w:t>was:</w:t>
      </w:r>
      <w:r w:rsidR="000D5953">
        <w:t xml:space="preserve"> </w:t>
      </w:r>
    </w:p>
    <w:p w14:paraId="0D0C1D89" w14:textId="77777777" w:rsidR="00802903" w:rsidRPr="007A58AF" w:rsidRDefault="00802903" w:rsidP="00802903"/>
    <w:p w14:paraId="257CF0A9" w14:textId="2E87EE13" w:rsidR="000B46C2" w:rsidRPr="003F18F7" w:rsidRDefault="003F18F7" w:rsidP="003F18F7">
      <w:pPr>
        <w:ind w:left="720"/>
      </w:pPr>
      <w:r w:rsidRPr="003F18F7">
        <w:t xml:space="preserve">To understand the early impact of the </w:t>
      </w:r>
      <w:r w:rsidRPr="003F18F7">
        <w:rPr>
          <w:i/>
        </w:rPr>
        <w:t xml:space="preserve">Social Services and Well-being (Wales) Act 2014 </w:t>
      </w:r>
      <w:r w:rsidRPr="003F18F7">
        <w:t xml:space="preserve">and people’s experiences of social care, particularly the factors that contribute to whether experiences are positive or negative. </w:t>
      </w:r>
    </w:p>
    <w:p w14:paraId="452953DE" w14:textId="77777777" w:rsidR="00112B20" w:rsidRDefault="00112B20" w:rsidP="00B543A7"/>
    <w:p w14:paraId="5D8348A2" w14:textId="77777777" w:rsidR="00112B20" w:rsidRPr="00A17C96" w:rsidRDefault="00112B20" w:rsidP="00B543A7">
      <w:pPr>
        <w:rPr>
          <w:b/>
        </w:rPr>
      </w:pPr>
      <w:r w:rsidRPr="00A17C96">
        <w:rPr>
          <w:b/>
        </w:rPr>
        <w:t>Methodology</w:t>
      </w:r>
    </w:p>
    <w:p w14:paraId="108658A7" w14:textId="06A5FE50" w:rsidR="00112B20" w:rsidRDefault="00E94921" w:rsidP="00B543A7">
      <w:r w:rsidRPr="00F143FD">
        <w:rPr>
          <w:i/>
        </w:rPr>
        <w:t>Measuring the Mountain</w:t>
      </w:r>
      <w:r>
        <w:t xml:space="preserve"> </w:t>
      </w:r>
      <w:r w:rsidR="00C66DC7">
        <w:t>gathered stories between August 1</w:t>
      </w:r>
      <w:r w:rsidR="00C66DC7" w:rsidRPr="00C66DC7">
        <w:rPr>
          <w:vertAlign w:val="superscript"/>
        </w:rPr>
        <w:t>st</w:t>
      </w:r>
      <w:r w:rsidR="00C66DC7">
        <w:t xml:space="preserve"> 2019 and May 31</w:t>
      </w:r>
      <w:r w:rsidR="00C66DC7" w:rsidRPr="00C66DC7">
        <w:rPr>
          <w:vertAlign w:val="superscript"/>
        </w:rPr>
        <w:t>st</w:t>
      </w:r>
      <w:r w:rsidR="00C66DC7">
        <w:t xml:space="preserve"> 2020, utilising</w:t>
      </w:r>
      <w:r>
        <w:t xml:space="preserve"> </w:t>
      </w:r>
      <w:r w:rsidRPr="00F143FD">
        <w:rPr>
          <w:i/>
        </w:rPr>
        <w:t>SenseMake</w:t>
      </w:r>
      <w:r w:rsidR="00F143FD" w:rsidRPr="00F143FD">
        <w:rPr>
          <w:i/>
        </w:rPr>
        <w:t>r</w:t>
      </w:r>
      <w:r w:rsidR="00F143FD">
        <w:t xml:space="preserve">.  </w:t>
      </w:r>
      <w:r w:rsidR="00F143FD" w:rsidRPr="00F143FD">
        <w:rPr>
          <w:i/>
        </w:rPr>
        <w:t>SenseMaker</w:t>
      </w:r>
      <w:r w:rsidR="00802903">
        <w:t xml:space="preserve"> is a tool </w:t>
      </w:r>
      <w:r w:rsidR="00F143FD">
        <w:t>designed to support ethnographic research, allowing for data collection to be scaled up and undertaken in a consistent manner across large demographic or geographic areas.</w:t>
      </w:r>
    </w:p>
    <w:p w14:paraId="0D03C46E" w14:textId="58064277" w:rsidR="007451DE" w:rsidRDefault="00F143FD" w:rsidP="00B543A7">
      <w:r>
        <w:t xml:space="preserve">The framework used by </w:t>
      </w:r>
      <w:r w:rsidRPr="00756DF0">
        <w:rPr>
          <w:i/>
        </w:rPr>
        <w:t>Measuring the Mountain</w:t>
      </w:r>
      <w:r>
        <w:t xml:space="preserve"> </w:t>
      </w:r>
      <w:r w:rsidR="005D2B6A">
        <w:t>began</w:t>
      </w:r>
      <w:r w:rsidR="0013647C">
        <w:t xml:space="preserve"> by</w:t>
      </w:r>
      <w:r w:rsidR="005D2B6A">
        <w:t xml:space="preserve"> </w:t>
      </w:r>
      <w:r w:rsidR="0013647C">
        <w:t>asking for</w:t>
      </w:r>
      <w:r w:rsidR="00C140EA">
        <w:t xml:space="preserve"> a</w:t>
      </w:r>
      <w:r w:rsidR="00E23B23">
        <w:t xml:space="preserve"> story the individual</w:t>
      </w:r>
      <w:r>
        <w:t xml:space="preserve"> wanted to share</w:t>
      </w:r>
      <w:r w:rsidR="000D5953">
        <w:t>,</w:t>
      </w:r>
      <w:r w:rsidR="005D2B6A">
        <w:t xml:space="preserve"> and </w:t>
      </w:r>
      <w:r>
        <w:t>subsequent questions added detail and context.</w:t>
      </w:r>
      <w:r w:rsidR="00E23B23">
        <w:t xml:space="preserve">  The focus was on</w:t>
      </w:r>
      <w:r w:rsidR="007451DE">
        <w:t xml:space="preserve"> lived experience</w:t>
      </w:r>
      <w:r w:rsidR="00E23B23">
        <w:t>s</w:t>
      </w:r>
      <w:r w:rsidR="007451DE">
        <w:t xml:space="preserve"> </w:t>
      </w:r>
      <w:r w:rsidR="005D2B6A">
        <w:t xml:space="preserve">of social care </w:t>
      </w:r>
      <w:r w:rsidR="000D5953">
        <w:t xml:space="preserve">in Wales </w:t>
      </w:r>
      <w:r w:rsidR="00E23B23">
        <w:t>and people</w:t>
      </w:r>
      <w:r w:rsidR="007451DE">
        <w:t xml:space="preserve"> were free to share whatever stood out to them.</w:t>
      </w:r>
    </w:p>
    <w:p w14:paraId="6493678E" w14:textId="13BBF9C6" w:rsidR="007451DE" w:rsidRDefault="007451DE" w:rsidP="00B543A7">
      <w:r>
        <w:lastRenderedPageBreak/>
        <w:t>A combination of purposive and snowball sampling</w:t>
      </w:r>
      <w:r w:rsidR="003F18F7">
        <w:t xml:space="preserve"> was employed </w:t>
      </w:r>
      <w:r w:rsidR="005D2B6A">
        <w:t>to collect stories from around Wales</w:t>
      </w:r>
      <w:r w:rsidR="003F18F7">
        <w:t>.  T</w:t>
      </w:r>
      <w:r>
        <w:t xml:space="preserve">he primary approach for gathering stories was for someone from the project to be invited to a group or get-together at which people could </w:t>
      </w:r>
      <w:r w:rsidR="000D5953">
        <w:t xml:space="preserve">hear about </w:t>
      </w:r>
      <w:r w:rsidR="000D5953" w:rsidRPr="00020FEC">
        <w:rPr>
          <w:i/>
        </w:rPr>
        <w:t>Measuring the Mountain</w:t>
      </w:r>
      <w:r w:rsidR="000D5953">
        <w:t xml:space="preserve"> and voluntarily </w:t>
      </w:r>
      <w:r w:rsidR="00020FEC">
        <w:t>opt</w:t>
      </w:r>
      <w:r w:rsidR="005D2B6A">
        <w:t xml:space="preserve"> </w:t>
      </w:r>
      <w:r>
        <w:t>to engage with the project</w:t>
      </w:r>
      <w:r w:rsidR="005D2B6A">
        <w:t xml:space="preserve">. </w:t>
      </w:r>
      <w:r w:rsidR="000D5953">
        <w:t>They then either verbally r</w:t>
      </w:r>
      <w:r w:rsidR="00020FEC">
        <w:t>elayed their story to someone from the project</w:t>
      </w:r>
      <w:r w:rsidR="000D5953">
        <w:t xml:space="preserve"> for inputting to </w:t>
      </w:r>
      <w:r w:rsidR="000D5953" w:rsidRPr="00020FEC">
        <w:rPr>
          <w:i/>
        </w:rPr>
        <w:t>SenseMaker</w:t>
      </w:r>
      <w:r w:rsidR="000D5953">
        <w:t xml:space="preserve"> or directly inputted it themselves.</w:t>
      </w:r>
      <w:r w:rsidR="00E23B23">
        <w:t xml:space="preserve"> People</w:t>
      </w:r>
      <w:r>
        <w:t xml:space="preserve"> also shared stories themselves by going online and completing the questions, or by sharing their story </w:t>
      </w:r>
      <w:r w:rsidR="000D5953">
        <w:t xml:space="preserve">via </w:t>
      </w:r>
      <w:r w:rsidR="00C140EA">
        <w:t>one of the project’s</w:t>
      </w:r>
      <w:r>
        <w:t xml:space="preserve"> partner organisation</w:t>
      </w:r>
      <w:r w:rsidR="00C140EA">
        <w:t>s</w:t>
      </w:r>
      <w:r>
        <w:t>.</w:t>
      </w:r>
    </w:p>
    <w:p w14:paraId="05F8AA40" w14:textId="252BE2C4" w:rsidR="0014766D" w:rsidRDefault="00C66DC7" w:rsidP="00B543A7">
      <w:r>
        <w:t>This approach</w:t>
      </w:r>
      <w:r w:rsidR="0016594A">
        <w:t>,</w:t>
      </w:r>
      <w:r>
        <w:t xml:space="preserve"> of creating opportunities for people to share what mattered to them</w:t>
      </w:r>
      <w:r w:rsidR="005D2B6A">
        <w:t>,</w:t>
      </w:r>
      <w:r>
        <w:t xml:space="preserve"> </w:t>
      </w:r>
      <w:r w:rsidR="005D2B6A">
        <w:t xml:space="preserve">in whatever way they chose, </w:t>
      </w:r>
      <w:r>
        <w:t xml:space="preserve">was an important element of </w:t>
      </w:r>
      <w:r w:rsidRPr="00756DF0">
        <w:rPr>
          <w:i/>
        </w:rPr>
        <w:t>Measuring the Mountain</w:t>
      </w:r>
      <w:r>
        <w:t xml:space="preserve">.  </w:t>
      </w:r>
      <w:r w:rsidR="005D2B6A">
        <w:t xml:space="preserve">Although there is an element of </w:t>
      </w:r>
      <w:r>
        <w:t>bias</w:t>
      </w:r>
      <w:r w:rsidR="005D2B6A">
        <w:t xml:space="preserve"> in this method, </w:t>
      </w:r>
      <w:r>
        <w:t xml:space="preserve">the snapshots of people’s lives, and the </w:t>
      </w:r>
      <w:r w:rsidR="005D2B6A">
        <w:t xml:space="preserve">themes </w:t>
      </w:r>
      <w:r>
        <w:t>that have emerged</w:t>
      </w:r>
      <w:r w:rsidR="00A820A9">
        <w:t>,</w:t>
      </w:r>
      <w:r>
        <w:t xml:space="preserve"> </w:t>
      </w:r>
      <w:r w:rsidR="005D2B6A">
        <w:t xml:space="preserve">are </w:t>
      </w:r>
      <w:r w:rsidR="00F06816">
        <w:t xml:space="preserve">of </w:t>
      </w:r>
      <w:r>
        <w:t>considerabl</w:t>
      </w:r>
      <w:r w:rsidR="00F06816">
        <w:t>e</w:t>
      </w:r>
      <w:r w:rsidR="005D2B6A">
        <w:t xml:space="preserve"> </w:t>
      </w:r>
      <w:r>
        <w:t>valu</w:t>
      </w:r>
      <w:r w:rsidR="005D2B6A">
        <w:t xml:space="preserve">e </w:t>
      </w:r>
      <w:r>
        <w:t>to understanding the day-to-day experiences of people across Wales.</w:t>
      </w:r>
    </w:p>
    <w:p w14:paraId="2FA80FCD" w14:textId="2B63F0FD" w:rsidR="000B46C2" w:rsidRDefault="000B46C2" w:rsidP="00B543A7"/>
    <w:p w14:paraId="3420E750" w14:textId="77777777" w:rsidR="007A58AF" w:rsidRDefault="007A58AF" w:rsidP="00B543A7"/>
    <w:p w14:paraId="5D72E7F0" w14:textId="77777777" w:rsidR="00112B20" w:rsidRPr="0014766D" w:rsidRDefault="00112B20" w:rsidP="00B543A7">
      <w:r w:rsidRPr="00A17C96">
        <w:rPr>
          <w:b/>
        </w:rPr>
        <w:t>Findings</w:t>
      </w:r>
    </w:p>
    <w:p w14:paraId="1C38D26F" w14:textId="3B553795" w:rsidR="00112B20" w:rsidRDefault="00030E2C" w:rsidP="00B543A7">
      <w:r w:rsidRPr="00756DF0">
        <w:rPr>
          <w:i/>
        </w:rPr>
        <w:t>Measuring the Mountain</w:t>
      </w:r>
      <w:r>
        <w:t xml:space="preserve"> gathered 520 stories from 421 individuals a</w:t>
      </w:r>
      <w:r w:rsidR="00F06816">
        <w:t>cross Wales.  Of those individuals</w:t>
      </w:r>
      <w:r>
        <w:t>, 68% were women, 40% were disabled and 46</w:t>
      </w:r>
      <w:r w:rsidR="00F06816">
        <w:t xml:space="preserve">% had caring responsibilities; they were aged from 12 to 99 with 28% </w:t>
      </w:r>
      <w:r w:rsidRPr="00F06816">
        <w:t>aged 65 and above.</w:t>
      </w:r>
    </w:p>
    <w:p w14:paraId="4AEDA38C" w14:textId="3D582ED2" w:rsidR="00843FDA" w:rsidRDefault="00951EF6" w:rsidP="00B543A7">
      <w:r>
        <w:t xml:space="preserve">Analysis of the 85,000 words of narrative revealed 14 primary themes that were grouped under the principles of the Act.  </w:t>
      </w:r>
      <w:r w:rsidR="00843FDA">
        <w:t xml:space="preserve">Collectively, the stories highlight the complexity of many people’s lives, the significance of the role played by unpaid carers and </w:t>
      </w:r>
      <w:r w:rsidR="002523EE">
        <w:t xml:space="preserve">the </w:t>
      </w:r>
      <w:r w:rsidR="00843FDA">
        <w:t>value of thoughtful, human interaction</w:t>
      </w:r>
      <w:r w:rsidR="000D5953">
        <w:t xml:space="preserve"> in how care</w:t>
      </w:r>
      <w:r w:rsidR="0016594A">
        <w:t xml:space="preserve"> and support services are</w:t>
      </w:r>
      <w:r w:rsidR="000D5953">
        <w:t xml:space="preserve"> delivered</w:t>
      </w:r>
      <w:r w:rsidR="00843FDA">
        <w:t>.</w:t>
      </w:r>
    </w:p>
    <w:p w14:paraId="4E75F429" w14:textId="77777777" w:rsidR="00B0327F" w:rsidRDefault="00B0327F" w:rsidP="00064E1E">
      <w:pPr>
        <w:ind w:firstLine="720"/>
        <w:rPr>
          <w:b/>
        </w:rPr>
      </w:pPr>
    </w:p>
    <w:p w14:paraId="287C8396" w14:textId="60F5BD8F" w:rsidR="00064E1E" w:rsidRPr="00064E1E" w:rsidRDefault="00064E1E" w:rsidP="00064E1E">
      <w:pPr>
        <w:ind w:firstLine="720"/>
        <w:rPr>
          <w:b/>
        </w:rPr>
      </w:pPr>
      <w:r w:rsidRPr="00064E1E">
        <w:rPr>
          <w:b/>
        </w:rPr>
        <w:t>Prevention</w:t>
      </w:r>
    </w:p>
    <w:p w14:paraId="02C51905" w14:textId="1BE25F59" w:rsidR="00230F74" w:rsidRDefault="00230F74" w:rsidP="00230F74">
      <w:r>
        <w:t xml:space="preserve">The experiences of unpaid carers </w:t>
      </w:r>
      <w:r w:rsidR="000D5953">
        <w:t xml:space="preserve">revealed </w:t>
      </w:r>
      <w:r>
        <w:t xml:space="preserve">the </w:t>
      </w:r>
      <w:r w:rsidR="006D447E">
        <w:t>enormous</w:t>
      </w:r>
      <w:r w:rsidR="000D5953">
        <w:t xml:space="preserve"> </w:t>
      </w:r>
      <w:r>
        <w:t>effort</w:t>
      </w:r>
      <w:r w:rsidR="000D5953">
        <w:t>s</w:t>
      </w:r>
      <w:r>
        <w:t xml:space="preserve"> people</w:t>
      </w:r>
      <w:r w:rsidR="000D5953">
        <w:t xml:space="preserve"> are</w:t>
      </w:r>
      <w:r>
        <w:t xml:space="preserve"> prepared to expend in support of a family member, friend or loved one</w:t>
      </w:r>
      <w:r w:rsidR="00C0285F">
        <w:t>.  They</w:t>
      </w:r>
      <w:r>
        <w:t xml:space="preserve"> illustrate the significant contributions made behind closed doors and the responsibilit</w:t>
      </w:r>
      <w:r w:rsidR="000D5953">
        <w:t xml:space="preserve">ies </w:t>
      </w:r>
      <w:r>
        <w:t>that people are prepared to take on to ensure a good quality of life for those they care about.</w:t>
      </w:r>
    </w:p>
    <w:p w14:paraId="2209A6C9" w14:textId="4C5C0865" w:rsidR="007643FB" w:rsidRDefault="00B0327F" w:rsidP="00B543A7">
      <w:r>
        <w:t xml:space="preserve">The difficulty of accessing services or finding appropriate </w:t>
      </w:r>
      <w:r w:rsidR="00FF3412">
        <w:t xml:space="preserve">information </w:t>
      </w:r>
      <w:r>
        <w:t>was a consistent theme and a source of frustration and distress for a number of people.   Among</w:t>
      </w:r>
      <w:r w:rsidR="0036233A">
        <w:t xml:space="preserve"> the positive stories </w:t>
      </w:r>
      <w:r>
        <w:t>were examples of services that</w:t>
      </w:r>
      <w:r w:rsidR="00802903">
        <w:t xml:space="preserve"> actively</w:t>
      </w:r>
      <w:r w:rsidR="00FF3412">
        <w:t xml:space="preserve"> offered support</w:t>
      </w:r>
      <w:r w:rsidR="00BD478E">
        <w:t>,</w:t>
      </w:r>
      <w:r w:rsidR="00FF3412">
        <w:t xml:space="preserve"> </w:t>
      </w:r>
      <w:r>
        <w:t>made themselves available in ways that suited people</w:t>
      </w:r>
      <w:r w:rsidR="00BD478E">
        <w:t xml:space="preserve"> and prevented things from </w:t>
      </w:r>
      <w:r w:rsidR="006D447E">
        <w:t>deteriorating</w:t>
      </w:r>
      <w:r w:rsidR="0036233A">
        <w:t>.</w:t>
      </w:r>
    </w:p>
    <w:p w14:paraId="781803F0" w14:textId="58049522" w:rsidR="00230F74" w:rsidRDefault="007643FB" w:rsidP="00B543A7">
      <w:r>
        <w:br w:type="page"/>
      </w:r>
    </w:p>
    <w:p w14:paraId="607BDCC5" w14:textId="3A3A578F" w:rsidR="00B0327F" w:rsidRPr="00B0327F" w:rsidRDefault="00B0327F" w:rsidP="00B543A7">
      <w:pPr>
        <w:rPr>
          <w:b/>
        </w:rPr>
      </w:pPr>
      <w:r>
        <w:tab/>
      </w:r>
      <w:r w:rsidRPr="00B0327F">
        <w:rPr>
          <w:b/>
        </w:rPr>
        <w:t>Voice and control</w:t>
      </w:r>
    </w:p>
    <w:p w14:paraId="28B67EEB" w14:textId="603E02BF" w:rsidR="00A660A4" w:rsidRDefault="00611924" w:rsidP="00B543A7">
      <w:r>
        <w:t>In relation to voice and control, a number of stories described t</w:t>
      </w:r>
      <w:r w:rsidR="00A660A4">
        <w:t>he</w:t>
      </w:r>
      <w:r w:rsidR="00802903">
        <w:t xml:space="preserve"> struggle many people had</w:t>
      </w:r>
      <w:r>
        <w:t xml:space="preserve"> to get the right support for them or their loved one.  People shared experiences of feeling out of control, </w:t>
      </w:r>
      <w:r w:rsidR="00802903">
        <w:t xml:space="preserve">without choices, </w:t>
      </w:r>
      <w:r>
        <w:t>caught up</w:t>
      </w:r>
      <w:r w:rsidR="00FF3412">
        <w:t xml:space="preserve"> in</w:t>
      </w:r>
      <w:r>
        <w:t xml:space="preserve"> circumstances out of t</w:t>
      </w:r>
      <w:r w:rsidR="00802903">
        <w:t>heir hands</w:t>
      </w:r>
      <w:r>
        <w:t>.  Often processes were seen to adversely contribute to these experiences, c</w:t>
      </w:r>
      <w:r w:rsidR="00802903">
        <w:t>reating additional obstacles to</w:t>
      </w:r>
      <w:r>
        <w:t xml:space="preserve"> people</w:t>
      </w:r>
      <w:r w:rsidR="00802903">
        <w:t xml:space="preserve"> getting the right support</w:t>
      </w:r>
      <w:r>
        <w:t>.</w:t>
      </w:r>
    </w:p>
    <w:p w14:paraId="5E150C5D" w14:textId="0C12D181" w:rsidR="001C1374" w:rsidRDefault="00802903" w:rsidP="00B543A7">
      <w:r>
        <w:t>Positive experiences</w:t>
      </w:r>
      <w:r w:rsidR="0036233A">
        <w:t xml:space="preserve"> </w:t>
      </w:r>
      <w:r w:rsidR="00611924">
        <w:t>often</w:t>
      </w:r>
      <w:r w:rsidR="003E0018">
        <w:t xml:space="preserve"> referenced specific individuals who undertook their professional roles with </w:t>
      </w:r>
      <w:r w:rsidR="00611924">
        <w:t>thoughtfulness, and who paid attention to the things that mattered to the individual.  O</w:t>
      </w:r>
      <w:r>
        <w:t>ften, these were</w:t>
      </w:r>
      <w:r w:rsidR="00611924">
        <w:t xml:space="preserve"> straightforward things</w:t>
      </w:r>
      <w:r w:rsidR="00BD478E">
        <w:t xml:space="preserve">, for example, </w:t>
      </w:r>
      <w:r w:rsidR="00611924">
        <w:t xml:space="preserve">knowing </w:t>
      </w:r>
      <w:r w:rsidR="00BD478E">
        <w:t xml:space="preserve">the name of the person </w:t>
      </w:r>
      <w:r w:rsidR="00886611">
        <w:t>who would be coming into their home</w:t>
      </w:r>
      <w:r w:rsidR="00611924">
        <w:t xml:space="preserve">, being kept informed about </w:t>
      </w:r>
      <w:r w:rsidR="00FF3412">
        <w:t>appointments</w:t>
      </w:r>
      <w:r w:rsidR="00BD478E">
        <w:t>, having phone calls returned,</w:t>
      </w:r>
      <w:r w:rsidR="00611924">
        <w:t xml:space="preserve"> and being supported to access the activities they enjoyed.</w:t>
      </w:r>
    </w:p>
    <w:p w14:paraId="68CEB072" w14:textId="77777777" w:rsidR="00611924" w:rsidRDefault="00611924" w:rsidP="00B543A7"/>
    <w:p w14:paraId="4CE8597A" w14:textId="4766B959" w:rsidR="00ED1B47" w:rsidRPr="00ED1B47" w:rsidRDefault="00ED1B47" w:rsidP="00064E1E">
      <w:pPr>
        <w:ind w:firstLine="720"/>
        <w:rPr>
          <w:b/>
        </w:rPr>
      </w:pPr>
      <w:r w:rsidRPr="00ED1B47">
        <w:rPr>
          <w:b/>
        </w:rPr>
        <w:t>Multi-agency working</w:t>
      </w:r>
    </w:p>
    <w:p w14:paraId="3F63C590" w14:textId="783832A1" w:rsidR="00ED1B47" w:rsidRDefault="00886611" w:rsidP="00B543A7">
      <w:r>
        <w:t>T</w:t>
      </w:r>
      <w:r w:rsidR="004D283D">
        <w:t xml:space="preserve">he narratives that sat under the principle of </w:t>
      </w:r>
      <w:r w:rsidR="004D283D" w:rsidRPr="00ED1B47">
        <w:rPr>
          <w:bCs/>
        </w:rPr>
        <w:t>multi-agency</w:t>
      </w:r>
      <w:r w:rsidR="004D283D">
        <w:t xml:space="preserve"> working high</w:t>
      </w:r>
      <w:r w:rsidR="003A115C">
        <w:t>lighted</w:t>
      </w:r>
      <w:r w:rsidR="00611924">
        <w:t xml:space="preserve"> issues in how </w:t>
      </w:r>
      <w:r w:rsidR="004D283D">
        <w:t xml:space="preserve">social care </w:t>
      </w:r>
      <w:r w:rsidR="00020FEC">
        <w:t>interacts with other sectors</w:t>
      </w:r>
      <w:r w:rsidR="004D283D">
        <w:t xml:space="preserve">, and how services within the sector interact with one another. There was a notable correlation between </w:t>
      </w:r>
      <w:r w:rsidR="00E23B23">
        <w:t>people</w:t>
      </w:r>
      <w:r w:rsidR="004D283D">
        <w:t xml:space="preserve"> </w:t>
      </w:r>
      <w:r w:rsidR="00100C0A">
        <w:t xml:space="preserve">believing </w:t>
      </w:r>
      <w:r w:rsidR="004D283D">
        <w:t xml:space="preserve">that services had worked together well and them </w:t>
      </w:r>
      <w:r w:rsidR="00E23B23">
        <w:t xml:space="preserve">having </w:t>
      </w:r>
      <w:r w:rsidR="004D283D">
        <w:t>had a positive experience.</w:t>
      </w:r>
      <w:r>
        <w:t xml:space="preserve">  </w:t>
      </w:r>
    </w:p>
    <w:p w14:paraId="583537AF" w14:textId="385F697E" w:rsidR="00886611" w:rsidRDefault="00886611" w:rsidP="00B543A7">
      <w:r>
        <w:t>P</w:t>
      </w:r>
      <w:r w:rsidR="003A115C">
        <w:t>eriods of transition</w:t>
      </w:r>
      <w:r w:rsidR="00020FEC">
        <w:t>, such as the move from</w:t>
      </w:r>
      <w:r w:rsidR="00BD478E">
        <w:t xml:space="preserve"> child</w:t>
      </w:r>
      <w:r w:rsidR="00020FEC">
        <w:t>ren’s to adult services or from h</w:t>
      </w:r>
      <w:r w:rsidR="00BD478E">
        <w:t>e</w:t>
      </w:r>
      <w:r w:rsidR="00020FEC">
        <w:t>alth to social</w:t>
      </w:r>
      <w:r w:rsidR="00BD478E">
        <w:t xml:space="preserve"> care,</w:t>
      </w:r>
      <w:r w:rsidR="003A115C">
        <w:t xml:space="preserve"> were</w:t>
      </w:r>
      <w:r>
        <w:t xml:space="preserve"> flashpoints in people’s experiences</w:t>
      </w:r>
      <w:r w:rsidR="003A115C">
        <w:t>, highlighting the importance of considered interventions</w:t>
      </w:r>
      <w:r>
        <w:t>.  Positive experiences of transition illustrated the significant difference that can be made to people’s lives and reiterated the value of good relationships between those accessing services and those providing them.</w:t>
      </w:r>
    </w:p>
    <w:p w14:paraId="0E9781FC" w14:textId="77777777" w:rsidR="00ED1B47" w:rsidRDefault="00ED1B47" w:rsidP="00B543A7"/>
    <w:p w14:paraId="4B295083" w14:textId="04A3C301" w:rsidR="00843FDA" w:rsidRPr="00ED1B47" w:rsidRDefault="00ED1B47" w:rsidP="00064E1E">
      <w:pPr>
        <w:ind w:firstLine="720"/>
        <w:rPr>
          <w:b/>
        </w:rPr>
      </w:pPr>
      <w:r w:rsidRPr="00ED1B47">
        <w:rPr>
          <w:b/>
        </w:rPr>
        <w:t>Co-production</w:t>
      </w:r>
      <w:r w:rsidR="001C1374" w:rsidRPr="00ED1B47">
        <w:rPr>
          <w:b/>
        </w:rPr>
        <w:t xml:space="preserve"> </w:t>
      </w:r>
    </w:p>
    <w:p w14:paraId="00105AD1" w14:textId="0D27C6B5" w:rsidR="00836D51" w:rsidRDefault="004D283D" w:rsidP="00B543A7">
      <w:r w:rsidRPr="00C41852">
        <w:t xml:space="preserve">Under the principle of </w:t>
      </w:r>
      <w:r w:rsidRPr="00C41852">
        <w:rPr>
          <w:bCs/>
        </w:rPr>
        <w:t>co-production</w:t>
      </w:r>
      <w:r w:rsidRPr="00C41852">
        <w:t xml:space="preserve"> </w:t>
      </w:r>
      <w:r w:rsidR="00064E1E" w:rsidRPr="00C41852">
        <w:t xml:space="preserve">were </w:t>
      </w:r>
      <w:r w:rsidRPr="00C41852">
        <w:t xml:space="preserve">a significant number of positive </w:t>
      </w:r>
      <w:r w:rsidR="0014766D" w:rsidRPr="00C41852">
        <w:t>experiences</w:t>
      </w:r>
      <w:r w:rsidR="00ED1B47" w:rsidRPr="00C41852">
        <w:t xml:space="preserve"> </w:t>
      </w:r>
      <w:r w:rsidRPr="00C41852">
        <w:t>relat</w:t>
      </w:r>
      <w:r w:rsidR="00BD478E">
        <w:t xml:space="preserve">ing </w:t>
      </w:r>
      <w:r w:rsidRPr="00C41852">
        <w:t xml:space="preserve">to </w:t>
      </w:r>
      <w:r w:rsidR="00120C88" w:rsidRPr="00C41852">
        <w:t>commu</w:t>
      </w:r>
      <w:r w:rsidR="003E0018" w:rsidRPr="00C41852">
        <w:t>nity groups and activities</w:t>
      </w:r>
      <w:r w:rsidR="00C41852">
        <w:t xml:space="preserve">.  Of particular note </w:t>
      </w:r>
      <w:r w:rsidR="00BD478E">
        <w:t xml:space="preserve">are </w:t>
      </w:r>
      <w:r w:rsidR="00C41852">
        <w:t>examples of</w:t>
      </w:r>
      <w:r w:rsidR="00C41852" w:rsidRPr="00C41852">
        <w:t xml:space="preserve"> c</w:t>
      </w:r>
      <w:r w:rsidR="00120C88" w:rsidRPr="00C41852">
        <w:t>reating networks, meeting</w:t>
      </w:r>
      <w:r w:rsidR="00836D51" w:rsidRPr="00C41852">
        <w:t xml:space="preserve"> others</w:t>
      </w:r>
      <w:r w:rsidR="00120C88" w:rsidRPr="00C41852">
        <w:t>, and developing peer sup</w:t>
      </w:r>
      <w:r w:rsidR="00C41852" w:rsidRPr="00C41852">
        <w:t>port connections</w:t>
      </w:r>
      <w:r w:rsidR="00756DF0" w:rsidRPr="00C41852">
        <w:t>.</w:t>
      </w:r>
      <w:r w:rsidR="00756DF0">
        <w:t xml:space="preserve">  They</w:t>
      </w:r>
      <w:r w:rsidR="00A820A9">
        <w:t xml:space="preserve"> suggest</w:t>
      </w:r>
      <w:r w:rsidR="003E0018">
        <w:t xml:space="preserve"> </w:t>
      </w:r>
      <w:r w:rsidR="00756DF0">
        <w:t>valuable method</w:t>
      </w:r>
      <w:r w:rsidR="003E0018">
        <w:t>s</w:t>
      </w:r>
      <w:r w:rsidR="00756DF0">
        <w:t xml:space="preserve"> of supporting people, sharing information and reducing isolation</w:t>
      </w:r>
      <w:r w:rsidR="00100C0A">
        <w:t xml:space="preserve"> in the </w:t>
      </w:r>
      <w:r w:rsidR="003A115C">
        <w:t>community</w:t>
      </w:r>
      <w:r w:rsidR="00756DF0">
        <w:t>.</w:t>
      </w:r>
      <w:r w:rsidR="00836D51">
        <w:t xml:space="preserve">  Many stories further emphasised people’s willingness to work with </w:t>
      </w:r>
      <w:r w:rsidR="00BD478E">
        <w:t xml:space="preserve">both statutory and voluntary </w:t>
      </w:r>
      <w:r w:rsidR="00836D51">
        <w:t>providers and to take responsibility for their or their loved ones’ support.</w:t>
      </w:r>
    </w:p>
    <w:p w14:paraId="384E5261" w14:textId="2E1B056D" w:rsidR="00112B20" w:rsidRDefault="00112B20" w:rsidP="00B543A7"/>
    <w:p w14:paraId="2282D494" w14:textId="77777777" w:rsidR="00B0327F" w:rsidRPr="00B0327F" w:rsidRDefault="00B0327F" w:rsidP="00B0327F">
      <w:pPr>
        <w:rPr>
          <w:b/>
        </w:rPr>
      </w:pPr>
      <w:r>
        <w:tab/>
      </w:r>
      <w:r w:rsidRPr="00B0327F">
        <w:rPr>
          <w:b/>
        </w:rPr>
        <w:t>Well-being</w:t>
      </w:r>
    </w:p>
    <w:p w14:paraId="1021ED30" w14:textId="0E6BBC63" w:rsidR="00B0327F" w:rsidRDefault="00836D51" w:rsidP="00B0327F">
      <w:r>
        <w:t xml:space="preserve">Well-being </w:t>
      </w:r>
      <w:r w:rsidR="00D369DD">
        <w:t>was</w:t>
      </w:r>
      <w:r w:rsidR="00FF3412">
        <w:t xml:space="preserve"> a</w:t>
      </w:r>
      <w:r>
        <w:t xml:space="preserve"> thread </w:t>
      </w:r>
      <w:r w:rsidR="00BD478E">
        <w:t xml:space="preserve">running </w:t>
      </w:r>
      <w:r>
        <w:t xml:space="preserve">throughout </w:t>
      </w:r>
      <w:r w:rsidR="00BD478E">
        <w:t xml:space="preserve">most of </w:t>
      </w:r>
      <w:r>
        <w:t>the narratives, particularly those that related to family.  Stories described</w:t>
      </w:r>
      <w:r w:rsidR="00B0327F">
        <w:t xml:space="preserve"> people caring for family members while managing their own physical and mental health needs and in </w:t>
      </w:r>
      <w:r>
        <w:t xml:space="preserve">some cases, family members </w:t>
      </w:r>
      <w:r w:rsidR="00B0327F">
        <w:t>caring for one another.  Mental health issues were mentioned in a large number of stories and were often described as being exacerbated by interactions with service providers.</w:t>
      </w:r>
      <w:r>
        <w:t xml:space="preserve">  The</w:t>
      </w:r>
      <w:r w:rsidR="00BD478E">
        <w:t xml:space="preserve">se stories </w:t>
      </w:r>
      <w:r>
        <w:t>illustrate the need for easily access</w:t>
      </w:r>
      <w:r w:rsidR="00BD478E">
        <w:t>ible</w:t>
      </w:r>
      <w:r>
        <w:t xml:space="preserve">, high quality support and </w:t>
      </w:r>
      <w:r w:rsidR="00FF3412">
        <w:t xml:space="preserve">for </w:t>
      </w:r>
      <w:r>
        <w:t>approaches within social care that reduce the burden on the individual.</w:t>
      </w:r>
    </w:p>
    <w:p w14:paraId="5DABF2E0" w14:textId="77777777" w:rsidR="00B0327F" w:rsidRDefault="00B0327F" w:rsidP="00B543A7"/>
    <w:p w14:paraId="7AF66ED4" w14:textId="77777777" w:rsidR="00ED1B47" w:rsidRDefault="00112B20" w:rsidP="00ED1B47">
      <w:pPr>
        <w:rPr>
          <w:b/>
        </w:rPr>
      </w:pPr>
      <w:r w:rsidRPr="00AC3B63">
        <w:rPr>
          <w:b/>
        </w:rPr>
        <w:t>Conclusions</w:t>
      </w:r>
    </w:p>
    <w:p w14:paraId="6C0CB885" w14:textId="478A488E" w:rsidR="00ED1B47" w:rsidRPr="00FF3412" w:rsidRDefault="00ED1B47" w:rsidP="00B543A7">
      <w:pPr>
        <w:rPr>
          <w:b/>
        </w:rPr>
      </w:pPr>
      <w:r w:rsidRPr="00E23B23">
        <w:t>T</w:t>
      </w:r>
      <w:r>
        <w:t xml:space="preserve">he narratives demonstrate the unequivocal value of </w:t>
      </w:r>
      <w:r w:rsidR="00D369DD">
        <w:t xml:space="preserve">positive </w:t>
      </w:r>
      <w:r>
        <w:t>human interactions based on trust,</w:t>
      </w:r>
      <w:r w:rsidR="00BD478E">
        <w:t xml:space="preserve"> respect,</w:t>
      </w:r>
      <w:r>
        <w:t xml:space="preserve"> mutual understanding and a </w:t>
      </w:r>
      <w:r w:rsidR="00BD478E">
        <w:t xml:space="preserve">meaningful </w:t>
      </w:r>
      <w:r>
        <w:t xml:space="preserve">balance of power.  Within many of the positive stories were behaviours critical to good service delivery and good experiences: listening to people, working </w:t>
      </w:r>
      <w:r w:rsidRPr="003E0018">
        <w:rPr>
          <w:i/>
        </w:rPr>
        <w:t>with</w:t>
      </w:r>
      <w:r>
        <w:t xml:space="preserve"> them and recognising individuals as knowledgeable contributors to their and their loved ones’ support.</w:t>
      </w:r>
    </w:p>
    <w:p w14:paraId="6177989C" w14:textId="74681FE6" w:rsidR="00F06816" w:rsidRDefault="00FF3412" w:rsidP="00B543A7">
      <w:r>
        <w:t xml:space="preserve">Accessing support and knowing what is available should not be a </w:t>
      </w:r>
      <w:r w:rsidR="00BD478E">
        <w:t xml:space="preserve">struggle or a </w:t>
      </w:r>
      <w:r>
        <w:t xml:space="preserve">battle.  Creating easy avenues to </w:t>
      </w:r>
      <w:r w:rsidR="00AC3B63">
        <w:t>services, making offers of support and working closely with those that require support</w:t>
      </w:r>
      <w:r w:rsidR="006D447E">
        <w:t xml:space="preserve">, are </w:t>
      </w:r>
      <w:r w:rsidR="00AC3B63">
        <w:t>valua</w:t>
      </w:r>
      <w:r>
        <w:t>ble factors in people’s</w:t>
      </w:r>
      <w:r w:rsidR="00AC3B63">
        <w:t xml:space="preserve"> positive experiences.</w:t>
      </w:r>
      <w:r w:rsidR="000350BE">
        <w:t xml:space="preserve"> </w:t>
      </w:r>
    </w:p>
    <w:p w14:paraId="4C0C26DC" w14:textId="659E01DE" w:rsidR="00B543A7" w:rsidRDefault="00AC3B63" w:rsidP="00B543A7">
      <w:r>
        <w:t xml:space="preserve">Fundamentally however, simply listening to and responding to the specific, individual needs of each person </w:t>
      </w:r>
      <w:r w:rsidR="000350BE">
        <w:t xml:space="preserve">in order to understand what really matters to them </w:t>
      </w:r>
      <w:r w:rsidR="006D447E">
        <w:t xml:space="preserve">is </w:t>
      </w:r>
      <w:r w:rsidR="000350BE">
        <w:t xml:space="preserve">at the heart of every story shared with </w:t>
      </w:r>
      <w:r w:rsidRPr="00AC3B63">
        <w:rPr>
          <w:i/>
        </w:rPr>
        <w:t>Measuring the Mountain</w:t>
      </w:r>
      <w:r w:rsidR="000350BE">
        <w:rPr>
          <w:i/>
        </w:rPr>
        <w:t xml:space="preserve">. </w:t>
      </w:r>
      <w:r w:rsidR="000350BE">
        <w:t xml:space="preserve"> </w:t>
      </w:r>
    </w:p>
    <w:sectPr w:rsidR="00B543A7" w:rsidSect="00D369DD">
      <w:footerReference w:type="default" r:id="rId11"/>
      <w:pgSz w:w="11906" w:h="16838"/>
      <w:pgMar w:top="1440" w:right="1440" w:bottom="1440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A9E5" w14:textId="77777777" w:rsidR="00F567F0" w:rsidRDefault="00F567F0" w:rsidP="00EF68A7">
      <w:pPr>
        <w:spacing w:after="0" w:line="240" w:lineRule="auto"/>
      </w:pPr>
      <w:r>
        <w:separator/>
      </w:r>
    </w:p>
  </w:endnote>
  <w:endnote w:type="continuationSeparator" w:id="0">
    <w:p w14:paraId="182494E5" w14:textId="77777777" w:rsidR="00F567F0" w:rsidRDefault="00F567F0" w:rsidP="00EF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148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F139A" w14:textId="59AED593" w:rsidR="00EF68A7" w:rsidRDefault="00EF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7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2FCEC9" w14:textId="77777777" w:rsidR="00EF68A7" w:rsidRDefault="00EF6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0FC3" w14:textId="77777777" w:rsidR="00F567F0" w:rsidRDefault="00F567F0" w:rsidP="00EF68A7">
      <w:pPr>
        <w:spacing w:after="0" w:line="240" w:lineRule="auto"/>
      </w:pPr>
      <w:r>
        <w:separator/>
      </w:r>
    </w:p>
  </w:footnote>
  <w:footnote w:type="continuationSeparator" w:id="0">
    <w:p w14:paraId="21B15C1C" w14:textId="77777777" w:rsidR="00F567F0" w:rsidRDefault="00F567F0" w:rsidP="00EF6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11"/>
    <w:rsid w:val="00020FEC"/>
    <w:rsid w:val="00030427"/>
    <w:rsid w:val="00030E2C"/>
    <w:rsid w:val="000350BE"/>
    <w:rsid w:val="00064E1E"/>
    <w:rsid w:val="000B46C2"/>
    <w:rsid w:val="000D5953"/>
    <w:rsid w:val="00100C0A"/>
    <w:rsid w:val="00112B20"/>
    <w:rsid w:val="00120C88"/>
    <w:rsid w:val="00132D2F"/>
    <w:rsid w:val="0013647C"/>
    <w:rsid w:val="0014766D"/>
    <w:rsid w:val="0016594A"/>
    <w:rsid w:val="001C1374"/>
    <w:rsid w:val="00230F74"/>
    <w:rsid w:val="002523EE"/>
    <w:rsid w:val="0027301F"/>
    <w:rsid w:val="002E1AF8"/>
    <w:rsid w:val="0031458A"/>
    <w:rsid w:val="0033584A"/>
    <w:rsid w:val="0036233A"/>
    <w:rsid w:val="003A115C"/>
    <w:rsid w:val="003E0018"/>
    <w:rsid w:val="003F18F7"/>
    <w:rsid w:val="00482C10"/>
    <w:rsid w:val="004965D6"/>
    <w:rsid w:val="004D283D"/>
    <w:rsid w:val="0052347A"/>
    <w:rsid w:val="00582D11"/>
    <w:rsid w:val="005C2C1E"/>
    <w:rsid w:val="005D2B6A"/>
    <w:rsid w:val="00611924"/>
    <w:rsid w:val="006D447E"/>
    <w:rsid w:val="007451DE"/>
    <w:rsid w:val="00756DF0"/>
    <w:rsid w:val="007643FB"/>
    <w:rsid w:val="007A58AF"/>
    <w:rsid w:val="007B379C"/>
    <w:rsid w:val="00802903"/>
    <w:rsid w:val="00836D51"/>
    <w:rsid w:val="00843FDA"/>
    <w:rsid w:val="00886611"/>
    <w:rsid w:val="008C029C"/>
    <w:rsid w:val="00951EF6"/>
    <w:rsid w:val="00A17C96"/>
    <w:rsid w:val="00A660A4"/>
    <w:rsid w:val="00A820A9"/>
    <w:rsid w:val="00AC3B63"/>
    <w:rsid w:val="00B0327F"/>
    <w:rsid w:val="00B34E79"/>
    <w:rsid w:val="00B543A7"/>
    <w:rsid w:val="00BA7FD4"/>
    <w:rsid w:val="00BB1845"/>
    <w:rsid w:val="00BD478E"/>
    <w:rsid w:val="00C0285F"/>
    <w:rsid w:val="00C140EA"/>
    <w:rsid w:val="00C37DD8"/>
    <w:rsid w:val="00C41852"/>
    <w:rsid w:val="00C503DA"/>
    <w:rsid w:val="00C66DC7"/>
    <w:rsid w:val="00D369DD"/>
    <w:rsid w:val="00DB35D0"/>
    <w:rsid w:val="00DB46A4"/>
    <w:rsid w:val="00DE6C2B"/>
    <w:rsid w:val="00E23B23"/>
    <w:rsid w:val="00E94921"/>
    <w:rsid w:val="00EB68C4"/>
    <w:rsid w:val="00ED1B47"/>
    <w:rsid w:val="00ED62A8"/>
    <w:rsid w:val="00EF68A7"/>
    <w:rsid w:val="00F06816"/>
    <w:rsid w:val="00F143FD"/>
    <w:rsid w:val="00F2615E"/>
    <w:rsid w:val="00F567F0"/>
    <w:rsid w:val="00F660A0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6C0E"/>
  <w15:chartTrackingRefBased/>
  <w15:docId w15:val="{FC1079B9-34CC-48E0-A8D5-E2B5B300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2D2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2D2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D2F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2D2F"/>
    <w:rPr>
      <w:rFonts w:eastAsiaTheme="majorEastAsia" w:cstheme="majorBidi"/>
      <w:b/>
      <w:szCs w:val="26"/>
    </w:rPr>
  </w:style>
  <w:style w:type="character" w:styleId="Hyperlink">
    <w:name w:val="Hyperlink"/>
    <w:basedOn w:val="DefaultParagraphFont"/>
    <w:uiPriority w:val="99"/>
    <w:unhideWhenUsed/>
    <w:rsid w:val="00C37D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8A7"/>
  </w:style>
  <w:style w:type="paragraph" w:styleId="Footer">
    <w:name w:val="footer"/>
    <w:basedOn w:val="Normal"/>
    <w:link w:val="FooterChar"/>
    <w:uiPriority w:val="99"/>
    <w:unhideWhenUsed/>
    <w:rsid w:val="00EF6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8A7"/>
  </w:style>
  <w:style w:type="paragraph" w:styleId="BalloonText">
    <w:name w:val="Balloon Text"/>
    <w:basedOn w:val="Normal"/>
    <w:link w:val="BalloonTextChar"/>
    <w:uiPriority w:val="99"/>
    <w:semiHidden/>
    <w:unhideWhenUsed/>
    <w:rsid w:val="00100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tm.wal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17AFA94E57F4C8DDC3AF7EDF06CAA" ma:contentTypeVersion="11" ma:contentTypeDescription="Create a new document." ma:contentTypeScope="" ma:versionID="c9dc80b09432e3ce02c9527c7b5b84c4">
  <xsd:schema xmlns:xsd="http://www.w3.org/2001/XMLSchema" xmlns:xs="http://www.w3.org/2001/XMLSchema" xmlns:p="http://schemas.microsoft.com/office/2006/metadata/properties" xmlns:ns3="1ece4028-c169-4720-92a7-13b42b1cc9ea" xmlns:ns4="4e2d2ea8-679c-40f6-a97d-290b02c03ed6" targetNamespace="http://schemas.microsoft.com/office/2006/metadata/properties" ma:root="true" ma:fieldsID="2376bac3daff7e30264498dca7435496" ns3:_="" ns4:_="">
    <xsd:import namespace="1ece4028-c169-4720-92a7-13b42b1cc9ea"/>
    <xsd:import namespace="4e2d2ea8-679c-40f6-a97d-290b02c03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e4028-c169-4720-92a7-13b42b1cc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d2ea8-679c-40f6-a97d-290b02c03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CC269-B49A-4713-B16D-4CA688FE5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FE2DC-374F-496C-8D5E-941A4F34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08AFC1-B0F9-4492-B5E1-DC32595EB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e4028-c169-4720-92a7-13b42b1cc9ea"/>
    <ds:schemaRef ds:uri="4e2d2ea8-679c-40f6-a97d-290b02c03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Cooke</dc:creator>
  <cp:keywords/>
  <dc:description/>
  <cp:lastModifiedBy>Katie Cooke</cp:lastModifiedBy>
  <cp:revision>6</cp:revision>
  <dcterms:created xsi:type="dcterms:W3CDTF">2021-01-05T10:03:00Z</dcterms:created>
  <dcterms:modified xsi:type="dcterms:W3CDTF">2021-01-11T10:46:00Z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0x0101006FD17AFA94E57F4C8DDC3AF7EDF06CAA</vt:lpwstr>
  </property>
</Properties>
</file>